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ascii="微软雅黑" w:hAnsi="微软雅黑" w:eastAsia="微软雅黑" w:cs="宋体"/>
          <w:b/>
          <w:bCs/>
          <w:color w:val="000000"/>
          <w:sz w:val="28"/>
          <w:szCs w:val="24"/>
        </w:rPr>
      </w:pPr>
      <w:r>
        <w:rPr>
          <w:b/>
          <w:sz w:val="36"/>
        </w:rPr>
        <w:t>招聘简章</w:t>
      </w:r>
    </w:p>
    <w:p>
      <w:pPr>
        <w:spacing w:line="360" w:lineRule="atLeast"/>
        <w:jc w:val="left"/>
        <w:rPr>
          <w:rFonts w:cs="宋体" w:asciiTheme="minorEastAsia" w:hAnsiTheme="minorEastAsia"/>
          <w:color w:val="646464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sz w:val="32"/>
          <w:szCs w:val="32"/>
        </w:rPr>
        <w:t>公司简介：</w:t>
      </w:r>
    </w:p>
    <w:p>
      <w:pPr>
        <w:pStyle w:val="11"/>
        <w:adjustRightInd w:val="0"/>
        <w:snapToGrid w:val="0"/>
        <w:spacing w:line="420" w:lineRule="auto"/>
        <w:ind w:firstLine="480" w:firstLineChars="200"/>
        <w:textAlignment w:val="baseline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济南韶远医药技术有限公司于2013年由韶远科技（上海）有限公司投资设立，是一家专业从事医药技术开发应用的高科技研发公司。</w:t>
      </w:r>
      <w:r>
        <w:rPr>
          <w:rFonts w:hint="eastAsia" w:asciiTheme="minorEastAsia" w:hAnsiTheme="minorEastAsia" w:eastAsiaTheme="minorEastAsia"/>
          <w:szCs w:val="21"/>
        </w:rPr>
        <w:t>公司位于济南市天桥区，拥有超过2250平方米的科研/办公基地，具有先进完备的有机合成和分析检测设备。</w:t>
      </w:r>
    </w:p>
    <w:p>
      <w:pPr>
        <w:pStyle w:val="11"/>
        <w:adjustRightInd w:val="0"/>
        <w:snapToGrid w:val="0"/>
        <w:spacing w:line="420" w:lineRule="auto"/>
        <w:ind w:firstLine="480" w:firstLineChars="200"/>
        <w:textAlignment w:val="baseline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母公司韶远科技（上海）有限公司（Accela ChemBio Co.,Ltd</w:t>
      </w:r>
      <w:r>
        <w:rPr>
          <w:rFonts w:hint="eastAsia" w:asciiTheme="minorEastAsia" w:hAnsiTheme="minorEastAsia" w:eastAsiaTheme="minorEastAsia"/>
          <w:color w:val="0000FF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）于2007年成立</w:t>
      </w:r>
      <w:r>
        <w:rPr>
          <w:rFonts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 w:eastAsiaTheme="minorEastAsia"/>
          <w:sz w:val="24"/>
        </w:rPr>
        <w:t>位于</w:t>
      </w:r>
      <w:r>
        <w:rPr>
          <w:rFonts w:asciiTheme="minorEastAsia" w:hAnsiTheme="minorEastAsia" w:eastAsiaTheme="minorEastAsia"/>
          <w:sz w:val="24"/>
        </w:rPr>
        <w:t>上海浦东</w:t>
      </w:r>
      <w:r>
        <w:rPr>
          <w:rFonts w:hint="eastAsia" w:asciiTheme="minorEastAsia" w:hAnsiTheme="minorEastAsia" w:eastAsiaTheme="minorEastAsia"/>
          <w:sz w:val="24"/>
        </w:rPr>
        <w:t>，是国内首家集研发、生产、销售于一体的高端试剂公司。</w:t>
      </w:r>
      <w:r>
        <w:fldChar w:fldCharType="begin"/>
      </w:r>
      <w:r>
        <w:instrText xml:space="preserve"> HYPERLINK "http://www.shao-yuan.com/cn/newsview_newsid_18.html"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</w:rPr>
        <w:t>企业</w:t>
      </w:r>
      <w:r>
        <w:rPr>
          <w:rFonts w:asciiTheme="minorEastAsia" w:hAnsiTheme="minorEastAsia" w:eastAsiaTheme="minorEastAsia"/>
          <w:sz w:val="24"/>
        </w:rPr>
        <w:t>先后获得</w:t>
      </w:r>
      <w:r>
        <w:rPr>
          <w:rFonts w:hint="eastAsia" w:asciiTheme="minorEastAsia" w:hAnsiTheme="minorEastAsia" w:eastAsiaTheme="minorEastAsia"/>
          <w:sz w:val="24"/>
        </w:rPr>
        <w:t>“上海市高新技术企业”</w:t>
      </w:r>
      <w:r>
        <w:rPr>
          <w:rFonts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</w:rPr>
        <w:t>“上海市浦东新区企业研发机构”</w:t>
      </w:r>
      <w:r>
        <w:rPr>
          <w:rFonts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</w:rPr>
        <w:t>“上海市技术先进型服务企业”</w:t>
      </w:r>
      <w:r>
        <w:rPr>
          <w:rFonts w:asciiTheme="minorEastAsia" w:hAnsiTheme="minorEastAsia" w:eastAsiaTheme="minorEastAsia"/>
          <w:sz w:val="24"/>
        </w:rPr>
        <w:t>等认证</w:t>
      </w:r>
      <w:r>
        <w:rPr>
          <w:rFonts w:asciiTheme="minorEastAsia" w:hAnsiTheme="minorEastAsia" w:eastAsiaTheme="minorEastAsia"/>
          <w:sz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420" w:lineRule="exact"/>
        <w:ind w:firstLine="480" w:firstLineChars="200"/>
        <w:jc w:val="left"/>
        <w:rPr>
          <w:rFonts w:cs="Times New Roman" w:asciiTheme="minorEastAsia" w:hAnsiTheme="minorEastAsia"/>
          <w:sz w:val="24"/>
          <w:szCs w:val="20"/>
        </w:rPr>
      </w:pPr>
      <w:r>
        <w:rPr>
          <w:rFonts w:hint="eastAsia" w:cs="Times New Roman" w:asciiTheme="minorEastAsia" w:hAnsiTheme="minorEastAsia"/>
          <w:sz w:val="24"/>
          <w:szCs w:val="20"/>
        </w:rPr>
        <w:t>韶远始终致力于促进客户提高科研效率，为客户提供一站式服务，为满足客户在新药研发各阶段中对于化学合成和生产的不同需求，在提供实验室级别高端研发用化学试剂的同时，发展和加强了关键中间体和杂环化合物的研发能力。</w:t>
      </w:r>
    </w:p>
    <w:p>
      <w:pPr>
        <w:spacing w:before="240" w:line="420" w:lineRule="exact"/>
        <w:ind w:firstLine="480" w:firstLineChars="200"/>
        <w:rPr>
          <w:rFonts w:cs="Times New Roman" w:asciiTheme="minorEastAsia" w:hAnsiTheme="minorEastAsia"/>
          <w:sz w:val="24"/>
          <w:szCs w:val="20"/>
        </w:rPr>
      </w:pPr>
      <w:r>
        <w:rPr>
          <w:rFonts w:hint="eastAsia" w:cs="Times New Roman" w:asciiTheme="minorEastAsia" w:hAnsiTheme="minorEastAsia"/>
          <w:sz w:val="24"/>
          <w:szCs w:val="20"/>
        </w:rPr>
        <w:t>公司秉承“诚实、正直、敬业、创新、价值”的五大价值观，致力于成为国内领先国际一流的化学试剂研发、生产的高科技化学试剂公司。</w:t>
      </w:r>
    </w:p>
    <w:p>
      <w:pPr>
        <w:adjustRightInd w:val="0"/>
        <w:snapToGrid w:val="0"/>
        <w:spacing w:before="240" w:line="420" w:lineRule="auto"/>
        <w:ind w:firstLine="470" w:firstLineChars="196"/>
        <w:jc w:val="left"/>
        <w:textAlignment w:val="baseline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韶远公司注重企业文化的建立和培养。如果您积极进取，勤奋敬业，善于合作，勤于学习，乐于挑战，勇于创新，韶远将是您充分展现自我的舞台。</w:t>
      </w:r>
    </w:p>
    <w:p>
      <w:pPr>
        <w:spacing w:line="360" w:lineRule="exact"/>
        <w:jc w:val="left"/>
        <w:textAlignment w:val="baseline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招聘岗位：</w:t>
      </w:r>
    </w:p>
    <w:tbl>
      <w:tblPr>
        <w:tblStyle w:val="8"/>
        <w:tblpPr w:leftFromText="180" w:rightFromText="180" w:vertAnchor="text" w:horzAnchor="page" w:tblpX="802" w:tblpY="201"/>
        <w:tblW w:w="11023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830"/>
        <w:gridCol w:w="828"/>
        <w:gridCol w:w="1646"/>
        <w:gridCol w:w="6520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</w:tblPrEx>
        <w:tc>
          <w:tcPr>
            <w:tcW w:w="119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招聘职位</w:t>
            </w:r>
          </w:p>
        </w:tc>
        <w:tc>
          <w:tcPr>
            <w:tcW w:w="830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人数</w:t>
            </w:r>
          </w:p>
        </w:tc>
        <w:tc>
          <w:tcPr>
            <w:tcW w:w="828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学历</w:t>
            </w:r>
          </w:p>
        </w:tc>
        <w:tc>
          <w:tcPr>
            <w:tcW w:w="1646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薪资待遇</w:t>
            </w:r>
          </w:p>
        </w:tc>
        <w:tc>
          <w:tcPr>
            <w:tcW w:w="6520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</w:rPr>
              <w:t>岗位要求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</w:tblPrEx>
        <w:tc>
          <w:tcPr>
            <w:tcW w:w="119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  <w:sz w:val="20"/>
                <w:szCs w:val="20"/>
              </w:rPr>
              <w:t>有机合成副研究员</w:t>
            </w:r>
          </w:p>
        </w:tc>
        <w:tc>
          <w:tcPr>
            <w:tcW w:w="83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化学/应用化学/制药工程/化学工程</w:t>
            </w:r>
          </w:p>
        </w:tc>
        <w:tc>
          <w:tcPr>
            <w:tcW w:w="1646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(4000~6000)+月度奖金</w:t>
            </w:r>
          </w:p>
        </w:tc>
        <w:tc>
          <w:tcPr>
            <w:tcW w:w="65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1、化学或相关专业本科学历；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2、具有一定有机合成（包括工艺）实验室经验者优先；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3、工作主动，诚实、严谨，有责任感和上进心，具备团队合作和创新精神。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欢迎有志于有机合成研究的应届毕业生！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</w:tblPrEx>
        <w:tc>
          <w:tcPr>
            <w:tcW w:w="1199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  <w:sz w:val="20"/>
                <w:szCs w:val="20"/>
              </w:rPr>
              <w:t>有机合成研究员</w:t>
            </w:r>
          </w:p>
        </w:tc>
        <w:tc>
          <w:tcPr>
            <w:tcW w:w="830" w:type="dxa"/>
            <w:shd w:val="clear" w:color="auto" w:fill="D2EAF0" w:themeFill="accent5" w:themeFillTint="3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Merge w:val="continue"/>
            <w:shd w:val="clear" w:color="auto" w:fill="D2EAF0" w:themeFill="accent5" w:themeFillTint="3F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2EAF0" w:themeFill="accent5" w:themeFillTint="3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(5000~10000)+月度奖金</w:t>
            </w:r>
          </w:p>
        </w:tc>
        <w:tc>
          <w:tcPr>
            <w:tcW w:w="6520" w:type="dxa"/>
            <w:shd w:val="clear" w:color="auto" w:fill="D2EAF0" w:themeFill="accent5" w:themeFillTint="3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1、有机化学本科、硕士学历；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2、具有2年或以上独立合成化学工作经验；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3、可独立地完成项目的调研及相应的有机合成研究开发工作；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4、具有强烈的责任心、敢想能为，有团队合作和创新精神。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</w:tblPrEx>
        <w:tc>
          <w:tcPr>
            <w:tcW w:w="1199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  <w:insideH w:val="single" w:sz="8" w:space="0"/>
              <w:insideV w:val="single" w:sz="24" w:space="0"/>
            </w:tcBorders>
            <w:shd w:val="clear" w:color="auto" w:fill="4BACC6" w:themeFill="accent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i w:val="0"/>
                <w:iCs w:val="0"/>
                <w:color w:val="FFFFFF" w:themeColor="background1"/>
                <w:kern w:val="0"/>
                <w:sz w:val="20"/>
                <w:szCs w:val="20"/>
              </w:rPr>
              <w:t>有机合成课题组长</w:t>
            </w:r>
          </w:p>
        </w:tc>
        <w:tc>
          <w:tcPr>
            <w:tcW w:w="83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vMerge w:val="continue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(6000~10000)+月度奖金</w:t>
            </w:r>
          </w:p>
        </w:tc>
        <w:tc>
          <w:tcPr>
            <w:tcW w:w="65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A5D5E2" w:themeFill="accent5" w:themeFillTint="7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1、有机化学硕士/学士，具有多年独立合成化学工作经验；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 xml:space="preserve">2、具备一定组织协调能力，能独立带领和指导课题组开展研究工作；                  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3、诚实正直，有责任心及主观能动性；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4、具备丰富团队协作及规模制备、生产管理经验者优先。</w:t>
            </w:r>
          </w:p>
        </w:tc>
      </w:tr>
    </w:tbl>
    <w:p>
      <w:pPr>
        <w:spacing w:line="360" w:lineRule="exact"/>
        <w:jc w:val="left"/>
        <w:textAlignment w:val="baseline"/>
        <w:rPr>
          <w:rFonts w:hint="eastAsia" w:ascii="微软雅黑" w:hAnsi="微软雅黑" w:eastAsia="微软雅黑"/>
          <w:sz w:val="24"/>
        </w:rPr>
      </w:pPr>
    </w:p>
    <w:p>
      <w:pPr>
        <w:spacing w:line="360" w:lineRule="exact"/>
        <w:jc w:val="left"/>
        <w:textAlignment w:val="baseline"/>
        <w:rPr>
          <w:rFonts w:hint="eastAsia" w:ascii="微软雅黑" w:hAnsi="微软雅黑" w:eastAsia="微软雅黑"/>
          <w:sz w:val="24"/>
        </w:rPr>
      </w:pPr>
    </w:p>
    <w:p>
      <w:pPr>
        <w:spacing w:line="360" w:lineRule="exact"/>
        <w:jc w:val="left"/>
        <w:textAlignment w:val="baseline"/>
        <w:rPr>
          <w:rFonts w:hint="eastAsia" w:ascii="微软雅黑" w:hAnsi="微软雅黑" w:eastAsia="微软雅黑"/>
          <w:sz w:val="24"/>
        </w:rPr>
      </w:pPr>
    </w:p>
    <w:p>
      <w:pPr>
        <w:spacing w:line="360" w:lineRule="exact"/>
        <w:jc w:val="left"/>
        <w:textAlignment w:val="baseline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spacing w:line="336" w:lineRule="auto"/>
        <w:jc w:val="left"/>
        <w:rPr>
          <w:rFonts w:ascii="微软雅黑" w:hAnsi="微软雅黑" w:eastAsia="微软雅黑" w:cs="宋体"/>
          <w:b/>
          <w:color w:val="646464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</w:rPr>
        <w:t>薪酬待遇：</w:t>
      </w:r>
    </w:p>
    <w:p>
      <w:pPr>
        <w:adjustRightInd w:val="0"/>
        <w:snapToGrid w:val="0"/>
        <w:spacing w:line="336" w:lineRule="auto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（一）</w:t>
      </w:r>
      <w:r>
        <w:rPr>
          <w:rFonts w:hint="eastAsia" w:ascii="微软雅黑" w:hAnsi="微软雅黑" w:eastAsia="微软雅黑"/>
          <w:b/>
          <w:sz w:val="24"/>
        </w:rPr>
        <w:t>岗位薪酬</w:t>
      </w:r>
    </w:p>
    <w:p>
      <w:pPr>
        <w:widowControl/>
        <w:adjustRightInd w:val="0"/>
        <w:snapToGrid w:val="0"/>
        <w:spacing w:line="336" w:lineRule="auto"/>
        <w:ind w:firstLine="480" w:firstLineChars="20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试用期3个月，入职签订劳动合同。本科薪酬4000以上，每2个月额外发放绩效奖励，每年2次调薪机会，年底1-3倍年终奖金。</w:t>
      </w:r>
      <w:r>
        <w:rPr>
          <w:rFonts w:ascii="微软雅黑" w:hAnsi="微软雅黑" w:eastAsia="微软雅黑"/>
          <w:sz w:val="24"/>
        </w:rPr>
        <w:t xml:space="preserve"> </w:t>
      </w:r>
    </w:p>
    <w:p>
      <w:pPr>
        <w:widowControl/>
        <w:adjustRightInd w:val="0"/>
        <w:snapToGrid w:val="0"/>
        <w:spacing w:line="336" w:lineRule="auto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（二）</w:t>
      </w:r>
      <w:r>
        <w:rPr>
          <w:rFonts w:hint="eastAsia" w:ascii="微软雅黑" w:hAnsi="微软雅黑" w:eastAsia="微软雅黑"/>
          <w:b/>
          <w:sz w:val="24"/>
        </w:rPr>
        <w:t>福利保障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sz w:val="24"/>
          <w:szCs w:val="24"/>
        </w:rPr>
        <w:t>六</w:t>
      </w:r>
      <w:r>
        <w:rPr>
          <w:rFonts w:hint="eastAsia" w:ascii="微软雅黑" w:hAnsi="微软雅黑" w:eastAsia="微软雅黑"/>
          <w:b/>
          <w:kern w:val="2"/>
          <w:sz w:val="24"/>
        </w:rPr>
        <w:t>险一金</w:t>
      </w:r>
      <w:r>
        <w:rPr>
          <w:rFonts w:hint="eastAsia" w:ascii="微软雅黑" w:hAnsi="微软雅黑" w:eastAsia="微软雅黑"/>
          <w:kern w:val="2"/>
          <w:sz w:val="24"/>
        </w:rPr>
        <w:t>：公司根据国家有关规定，入职即为员工缴纳养老保险、医疗保险、失业保险、生育保险、工伤保险、补充商业保险（含意外、重疾及住院医疗补贴）和住房公积金。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b/>
          <w:kern w:val="2"/>
          <w:sz w:val="24"/>
        </w:rPr>
        <w:t>员工福利</w:t>
      </w:r>
      <w:r>
        <w:rPr>
          <w:rFonts w:hint="eastAsia" w:ascii="微软雅黑" w:hAnsi="微软雅黑" w:eastAsia="微软雅黑"/>
          <w:kern w:val="2"/>
          <w:sz w:val="24"/>
        </w:rPr>
        <w:t>：节日福利（端午节、中秋节、春节等节日发放节日福利）、生日福利、带薪年假、定期旅游等多样化的福利保障。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b/>
          <w:kern w:val="2"/>
          <w:sz w:val="24"/>
        </w:rPr>
        <w:t>生活保障</w:t>
      </w:r>
      <w:r>
        <w:rPr>
          <w:rFonts w:hint="eastAsia" w:ascii="微软雅黑" w:hAnsi="微软雅黑" w:eastAsia="微软雅黑"/>
          <w:kern w:val="2"/>
          <w:sz w:val="24"/>
        </w:rPr>
        <w:t>：公司为每人提供餐饮补贴300元/月，全勤奖励100元/月。公司为员工提供免费宿舍（精装修：空调、冰箱、洗衣机、热水器、厨房等家用电器配备齐全），市区员工上下面提供免费班车等。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b/>
          <w:kern w:val="2"/>
          <w:sz w:val="24"/>
        </w:rPr>
        <w:t>健康保障</w:t>
      </w:r>
      <w:r>
        <w:rPr>
          <w:rFonts w:hint="eastAsia" w:ascii="微软雅黑" w:hAnsi="微软雅黑" w:eastAsia="微软雅黑"/>
          <w:kern w:val="2"/>
          <w:sz w:val="24"/>
        </w:rPr>
        <w:t>：公司每年定期为员工组织免费健康体检，发放劳保用品（工作服、防护眼镜、一次性手套等）。</w:t>
      </w:r>
    </w:p>
    <w:p>
      <w:pPr>
        <w:pStyle w:val="11"/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>（三）</w:t>
      </w:r>
      <w:r>
        <w:rPr>
          <w:rFonts w:hint="eastAsia" w:ascii="微软雅黑" w:hAnsi="微软雅黑" w:eastAsia="微软雅黑"/>
          <w:b/>
          <w:kern w:val="2"/>
          <w:sz w:val="24"/>
        </w:rPr>
        <w:t>提升空间</w:t>
      </w:r>
    </w:p>
    <w:p>
      <w:pPr>
        <w:pStyle w:val="11"/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 xml:space="preserve">    公司为新进员工提供专业的技术培训，由专业的行业领头人进行技术指导，一对一带教；另外公司具有完善的晋升机制，每半年进行一次绩效考核，考核优秀的员工将获得升职加薪。</w:t>
      </w:r>
    </w:p>
    <w:p>
      <w:pPr>
        <w:pStyle w:val="11"/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>（四）</w:t>
      </w:r>
      <w:r>
        <w:rPr>
          <w:rFonts w:hint="eastAsia" w:ascii="微软雅黑" w:hAnsi="微软雅黑" w:eastAsia="微软雅黑"/>
          <w:b/>
          <w:kern w:val="2"/>
          <w:sz w:val="24"/>
        </w:rPr>
        <w:t>休息休假</w:t>
      </w:r>
    </w:p>
    <w:p>
      <w:pPr>
        <w:pStyle w:val="11"/>
        <w:adjustRightInd w:val="0"/>
        <w:snapToGrid w:val="0"/>
        <w:spacing w:line="336" w:lineRule="auto"/>
        <w:ind w:firstLine="480" w:firstLineChars="200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>公司充分保证员工休息休假的权利，工作时间8:00-16:30，大小周休息（每月休息6天），国家法定节假日正常休息，另有带薪年假、婚假、产假、陪护假等假期。</w:t>
      </w:r>
    </w:p>
    <w:p>
      <w:pPr>
        <w:pStyle w:val="11"/>
        <w:adjustRightInd w:val="0"/>
        <w:snapToGrid w:val="0"/>
        <w:spacing w:line="336" w:lineRule="auto"/>
        <w:textAlignment w:val="baseline"/>
        <w:rPr>
          <w:rFonts w:ascii="微软雅黑" w:hAnsi="微软雅黑" w:eastAsia="微软雅黑"/>
          <w:b/>
          <w:kern w:val="2"/>
          <w:sz w:val="24"/>
        </w:rPr>
      </w:pPr>
      <w:r>
        <w:rPr>
          <w:rFonts w:hint="eastAsia" w:ascii="微软雅黑" w:hAnsi="微软雅黑" w:eastAsia="微软雅黑"/>
          <w:b/>
          <w:kern w:val="2"/>
          <w:sz w:val="24"/>
        </w:rPr>
        <w:t>联系方式：</w:t>
      </w:r>
    </w:p>
    <w:p>
      <w:pPr>
        <w:pStyle w:val="11"/>
        <w:adjustRightInd w:val="0"/>
        <w:snapToGrid w:val="0"/>
        <w:spacing w:line="336" w:lineRule="auto"/>
        <w:ind w:firstLine="480" w:firstLineChars="200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>公司官网：www.shao-yuan.com</w:t>
      </w:r>
    </w:p>
    <w:p>
      <w:pPr>
        <w:pStyle w:val="11"/>
        <w:adjustRightInd w:val="0"/>
        <w:snapToGrid w:val="0"/>
        <w:spacing w:line="336" w:lineRule="auto"/>
        <w:ind w:firstLine="480" w:firstLineChars="200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>招聘电话：0531-</w:t>
      </w:r>
      <w:r>
        <w:rPr>
          <w:rFonts w:ascii="微软雅黑" w:hAnsi="微软雅黑" w:eastAsia="微软雅黑"/>
          <w:kern w:val="2"/>
          <w:sz w:val="24"/>
        </w:rPr>
        <w:t>58675656</w:t>
      </w:r>
      <w:r>
        <w:rPr>
          <w:rFonts w:hint="eastAsia" w:ascii="微软雅黑" w:hAnsi="微软雅黑" w:eastAsia="微软雅黑"/>
          <w:kern w:val="2"/>
          <w:sz w:val="24"/>
        </w:rPr>
        <w:t>-9369  联系人：刘经理</w:t>
      </w:r>
    </w:p>
    <w:p>
      <w:pPr>
        <w:pStyle w:val="11"/>
        <w:adjustRightInd w:val="0"/>
        <w:snapToGrid w:val="0"/>
        <w:spacing w:line="336" w:lineRule="auto"/>
        <w:ind w:firstLine="480" w:firstLineChars="200"/>
        <w:textAlignment w:val="baseline"/>
        <w:rPr>
          <w:rFonts w:ascii="微软雅黑" w:hAnsi="微软雅黑" w:eastAsia="微软雅黑"/>
          <w:kern w:val="2"/>
          <w:sz w:val="24"/>
        </w:rPr>
      </w:pPr>
      <w:r>
        <w:rPr>
          <w:rFonts w:hint="eastAsia" w:ascii="微软雅黑" w:hAnsi="微软雅黑" w:eastAsia="微软雅黑"/>
          <w:kern w:val="2"/>
          <w:sz w:val="24"/>
        </w:rPr>
        <w:t>公司地址：山东省济南市天桥区梓东大道299号鑫茂齐鲁科技城29号楼</w:t>
      </w:r>
    </w:p>
    <w:p>
      <w:pPr>
        <w:spacing w:line="360" w:lineRule="exact"/>
        <w:jc w:val="left"/>
        <w:textAlignment w:val="baseline"/>
        <w:rPr>
          <w:rFonts w:ascii="微软雅黑" w:hAnsi="微软雅黑" w:eastAsia="微软雅黑"/>
          <w:b/>
          <w:sz w:val="24"/>
        </w:rPr>
      </w:pPr>
    </w:p>
    <w:p/>
    <w:p>
      <w:pPr>
        <w:rPr>
          <w:rFonts w:hint="eastAsia"/>
        </w:rPr>
      </w:pPr>
    </w:p>
    <w:p/>
    <w:p/>
    <w:p/>
    <w:p>
      <w:pPr>
        <w:spacing w:line="560" w:lineRule="exact"/>
        <w:ind w:firstLine="600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职业发展通道（</w:t>
      </w:r>
      <w:r>
        <w:rPr>
          <w:rFonts w:ascii="微软雅黑" w:hAnsi="微软雅黑" w:eastAsia="微软雅黑"/>
          <w:b/>
          <w:bCs/>
          <w:sz w:val="30"/>
          <w:szCs w:val="30"/>
        </w:rPr>
        <w:t>Career plan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）</w:t>
      </w:r>
    </w:p>
    <w:p>
      <w:pPr>
        <w:rPr>
          <w:rFonts w:ascii="微软雅黑" w:hAnsi="微软雅黑" w:eastAsia="微软雅黑" w:cs="Times New Roman"/>
          <w:b/>
          <w:sz w:val="20"/>
          <w:szCs w:val="20"/>
        </w:rPr>
      </w:pPr>
      <w:r>
        <w:rPr>
          <w:rFonts w:ascii="微软雅黑" w:hAnsi="微软雅黑" w:eastAsia="微软雅黑" w:cs="Times New Roman"/>
          <w:b/>
          <w:sz w:val="20"/>
          <w:szCs w:val="20"/>
        </w:rPr>
        <w:drawing>
          <wp:inline distT="0" distB="0" distL="0" distR="0">
            <wp:extent cx="6600825" cy="48094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2606" cy="481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00"/>
        <w:rPr>
          <w:rFonts w:ascii="微软雅黑" w:hAnsi="微软雅黑" w:eastAsia="微软雅黑"/>
          <w:b/>
          <w:bCs/>
          <w:sz w:val="32"/>
          <w:szCs w:val="30"/>
        </w:rPr>
      </w:pPr>
      <w:r>
        <w:rPr>
          <w:rFonts w:hint="eastAsia" w:ascii="微软雅黑" w:hAnsi="微软雅黑" w:eastAsia="微软雅黑"/>
          <w:b/>
          <w:bCs/>
          <w:sz w:val="32"/>
          <w:szCs w:val="30"/>
        </w:rPr>
        <w:t>培训体系（</w:t>
      </w:r>
      <w:r>
        <w:rPr>
          <w:rFonts w:ascii="微软雅黑" w:hAnsi="微软雅黑" w:eastAsia="微软雅黑"/>
          <w:b/>
          <w:bCs/>
          <w:sz w:val="32"/>
          <w:szCs w:val="30"/>
        </w:rPr>
        <w:t>T</w:t>
      </w:r>
      <w:r>
        <w:rPr>
          <w:rFonts w:hint="eastAsia" w:ascii="微软雅黑" w:hAnsi="微软雅黑" w:eastAsia="微软雅黑"/>
          <w:b/>
          <w:bCs/>
          <w:sz w:val="32"/>
          <w:szCs w:val="30"/>
        </w:rPr>
        <w:t>alent</w:t>
      </w:r>
      <w:r>
        <w:rPr>
          <w:rFonts w:ascii="微软雅黑" w:hAnsi="微软雅黑" w:eastAsia="微软雅黑"/>
          <w:b/>
          <w:bCs/>
          <w:sz w:val="32"/>
          <w:szCs w:val="30"/>
        </w:rPr>
        <w:t xml:space="preserve"> training system</w:t>
      </w:r>
      <w:r>
        <w:rPr>
          <w:rFonts w:hint="eastAsia" w:ascii="微软雅黑" w:hAnsi="微软雅黑" w:eastAsia="微软雅黑"/>
          <w:b/>
          <w:bCs/>
          <w:sz w:val="32"/>
          <w:szCs w:val="30"/>
        </w:rPr>
        <w:t>）</w:t>
      </w:r>
    </w:p>
    <w:p>
      <w:pPr>
        <w:ind w:firstLine="900" w:firstLineChars="300"/>
        <w:jc w:val="left"/>
        <w:rPr>
          <w:rFonts w:ascii="微软雅黑" w:hAnsi="微软雅黑" w:eastAsia="微软雅黑" w:cs="Times New Roman"/>
          <w:b/>
          <w:sz w:val="20"/>
          <w:szCs w:val="20"/>
        </w:rPr>
      </w:pPr>
      <w:r>
        <w:rPr>
          <w:rFonts w:ascii="微软雅黑" w:hAnsi="微软雅黑" w:eastAsia="微软雅黑"/>
          <w:bCs/>
          <w:sz w:val="30"/>
          <w:szCs w:val="30"/>
        </w:rPr>
        <w:drawing>
          <wp:inline distT="0" distB="0" distL="0" distR="0">
            <wp:extent cx="3790950" cy="2362200"/>
            <wp:effectExtent l="19050" t="0" r="38100" b="38100"/>
            <wp:docPr id="6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>
      <w:pPr>
        <w:spacing w:line="560" w:lineRule="exact"/>
        <w:ind w:firstLine="600"/>
        <w:rPr>
          <w:rFonts w:ascii="微软雅黑" w:hAnsi="微软雅黑" w:eastAsia="微软雅黑"/>
          <w:bCs/>
          <w:sz w:val="30"/>
          <w:szCs w:val="30"/>
        </w:rPr>
      </w:pPr>
      <w:r>
        <w:rPr>
          <w:rFonts w:ascii="微软雅黑" w:hAnsi="微软雅黑" w:eastAsia="微软雅黑"/>
          <w:kern w:val="2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32385</wp:posOffset>
            </wp:positionV>
            <wp:extent cx="2226945" cy="1236980"/>
            <wp:effectExtent l="0" t="0" r="13335" b="12700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Times New Roman"/>
          <w:b/>
          <w:sz w:val="20"/>
          <w:szCs w:val="20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B45"/>
    <w:multiLevelType w:val="multilevel"/>
    <w:tmpl w:val="291B2B4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8AD"/>
    <w:rsid w:val="00017279"/>
    <w:rsid w:val="000671B7"/>
    <w:rsid w:val="001B3350"/>
    <w:rsid w:val="001E18BC"/>
    <w:rsid w:val="00211BE0"/>
    <w:rsid w:val="00233A40"/>
    <w:rsid w:val="00397271"/>
    <w:rsid w:val="00455A89"/>
    <w:rsid w:val="004C0F32"/>
    <w:rsid w:val="004E0F62"/>
    <w:rsid w:val="004F4378"/>
    <w:rsid w:val="005E5364"/>
    <w:rsid w:val="00614759"/>
    <w:rsid w:val="00646388"/>
    <w:rsid w:val="0067546E"/>
    <w:rsid w:val="00690980"/>
    <w:rsid w:val="006B13EC"/>
    <w:rsid w:val="00764742"/>
    <w:rsid w:val="007B75B7"/>
    <w:rsid w:val="008B3EEB"/>
    <w:rsid w:val="008D5397"/>
    <w:rsid w:val="00901590"/>
    <w:rsid w:val="009024BD"/>
    <w:rsid w:val="009D2781"/>
    <w:rsid w:val="00A23710"/>
    <w:rsid w:val="00AB3C50"/>
    <w:rsid w:val="00AE369F"/>
    <w:rsid w:val="00B129C7"/>
    <w:rsid w:val="00B26030"/>
    <w:rsid w:val="00C00925"/>
    <w:rsid w:val="00CD670A"/>
    <w:rsid w:val="00D048AD"/>
    <w:rsid w:val="00D77BA7"/>
    <w:rsid w:val="00DE326E"/>
    <w:rsid w:val="00E30554"/>
    <w:rsid w:val="1D4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5"/>
    <w:basedOn w:val="6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145C27-50CB-460F-8D2B-97EDA5FFBA93}" type="doc">
      <dgm:prSet loTypeId="urn:microsoft.com/office/officeart/2005/8/layout/vList4" loCatId="list" qsTypeId="urn:microsoft.com/office/officeart/2005/8/quickstyle/simple4" qsCatId="simple" csTypeId="urn:microsoft.com/office/officeart/2005/8/colors/accent5_4" csCatId="accent5" phldr="1"/>
      <dgm:spPr/>
      <dgm:t>
        <a:bodyPr/>
        <a:p>
          <a:endParaRPr lang="zh-CN" altLang="en-US"/>
        </a:p>
      </dgm:t>
    </dgm:pt>
    <dgm:pt modelId="{1C02ACE2-32AA-424D-99C3-9F6711B1FD6F}">
      <dgm:prSet phldrT="[文本]" custT="1"/>
      <dgm:spPr/>
      <dgm:t>
        <a:bodyPr/>
        <a:p>
          <a:r>
            <a:rPr lang="zh-CN" altLang="en-US" sz="2400" b="1"/>
            <a:t>新员工入职培训</a:t>
          </a:r>
          <a:endParaRPr lang="zh-CN" altLang="en-US" sz="2400"/>
        </a:p>
      </dgm:t>
    </dgm:pt>
    <dgm:pt modelId="{27131583-2B79-4EED-8AC3-5A986CB1B69E}" cxnId="{4A7DA61C-FE57-475A-BBF4-83D6F7A0A029}" type="parTrans">
      <dgm:prSet/>
      <dgm:spPr/>
      <dgm:t>
        <a:bodyPr/>
        <a:p>
          <a:endParaRPr lang="zh-CN" altLang="en-US" sz="1100"/>
        </a:p>
      </dgm:t>
    </dgm:pt>
    <dgm:pt modelId="{AFB0D2D5-69BA-47B5-AF5B-91D01E752052}" cxnId="{4A7DA61C-FE57-475A-BBF4-83D6F7A0A029}" type="sibTrans">
      <dgm:prSet/>
      <dgm:spPr/>
      <dgm:t>
        <a:bodyPr/>
        <a:p>
          <a:endParaRPr lang="zh-CN" altLang="en-US" sz="1100"/>
        </a:p>
      </dgm:t>
    </dgm:pt>
    <dgm:pt modelId="{F1CACD19-E741-4A05-914B-992D00099082}">
      <dgm:prSet phldrT="[文本]" custT="1"/>
      <dgm:spPr/>
      <dgm:t>
        <a:bodyPr/>
        <a:p>
          <a:r>
            <a:rPr lang="zh-CN" altLang="en-US" sz="2400" b="1"/>
            <a:t>岗位安全培训</a:t>
          </a:r>
          <a:endParaRPr lang="zh-CN" altLang="en-US" sz="2400"/>
        </a:p>
      </dgm:t>
    </dgm:pt>
    <dgm:pt modelId="{78061579-0822-4B46-9D0D-2A7A9BFC8392}" cxnId="{87294C63-A6A6-4C0E-B8D9-1FEFC74E8C62}" type="parTrans">
      <dgm:prSet/>
      <dgm:spPr/>
      <dgm:t>
        <a:bodyPr/>
        <a:p>
          <a:endParaRPr lang="zh-CN" altLang="en-US" sz="1100"/>
        </a:p>
      </dgm:t>
    </dgm:pt>
    <dgm:pt modelId="{02E44572-1D71-4837-BACD-090525260057}" cxnId="{87294C63-A6A6-4C0E-B8D9-1FEFC74E8C62}" type="sibTrans">
      <dgm:prSet/>
      <dgm:spPr/>
      <dgm:t>
        <a:bodyPr/>
        <a:p>
          <a:endParaRPr lang="zh-CN" altLang="en-US" sz="1100"/>
        </a:p>
      </dgm:t>
    </dgm:pt>
    <dgm:pt modelId="{9921561E-A28E-4D34-9716-31E902AE2A22}">
      <dgm:prSet phldrT="[文本]" custT="1"/>
      <dgm:spPr/>
      <dgm:t>
        <a:bodyPr/>
        <a:p>
          <a:r>
            <a:rPr lang="zh-CN" altLang="en-US" sz="2400" b="1"/>
            <a:t>关键岗位人才培训</a:t>
          </a:r>
          <a:endParaRPr lang="zh-CN" altLang="en-US" sz="2400"/>
        </a:p>
      </dgm:t>
    </dgm:pt>
    <dgm:pt modelId="{76FA7B83-BE90-4319-B89E-AB1F3A5D3012}" cxnId="{7265F52B-1651-4907-A5AA-750FFC67437B}" type="parTrans">
      <dgm:prSet/>
      <dgm:spPr/>
      <dgm:t>
        <a:bodyPr/>
        <a:p>
          <a:endParaRPr lang="zh-CN" altLang="en-US" sz="1100"/>
        </a:p>
      </dgm:t>
    </dgm:pt>
    <dgm:pt modelId="{223760BD-D30E-4A39-9868-42D239591F42}" cxnId="{7265F52B-1651-4907-A5AA-750FFC67437B}" type="sibTrans">
      <dgm:prSet/>
      <dgm:spPr/>
      <dgm:t>
        <a:bodyPr/>
        <a:p>
          <a:endParaRPr lang="zh-CN" altLang="en-US" sz="1100"/>
        </a:p>
      </dgm:t>
    </dgm:pt>
    <dgm:pt modelId="{1E061D4E-C28C-4B34-BB6D-FA18CAE6BBCB}" type="pres">
      <dgm:prSet presAssocID="{EA145C27-50CB-460F-8D2B-97EDA5FFBA93}" presName="linear" presStyleCnt="0">
        <dgm:presLayoutVars>
          <dgm:dir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868C42CC-2CCC-4F4E-BB62-081C25FC957B}" type="pres">
      <dgm:prSet presAssocID="{1C02ACE2-32AA-424D-99C3-9F6711B1FD6F}" presName="comp" presStyleCnt="0"/>
      <dgm:spPr/>
    </dgm:pt>
    <dgm:pt modelId="{FB86FDB5-5AED-48AE-A31D-87B0B44B4C40}" type="pres">
      <dgm:prSet presAssocID="{1C02ACE2-32AA-424D-99C3-9F6711B1FD6F}" presName="box" presStyleLbl="node1" presStyleIdx="0" presStyleCnt="3"/>
      <dgm:spPr/>
      <dgm:t>
        <a:bodyPr/>
        <a:p>
          <a:endParaRPr lang="zh-CN" altLang="en-US"/>
        </a:p>
      </dgm:t>
    </dgm:pt>
    <dgm:pt modelId="{D04DD26B-922D-4F06-9EE5-DC39B415B754}" type="pres">
      <dgm:prSet presAssocID="{1C02ACE2-32AA-424D-99C3-9F6711B1FD6F}" presName="img" presStyleLbl="fgImgPlace1" presStyleIdx="0" presStyleCnt="3" custScaleY="5357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p>
          <a:endParaRPr lang="zh-CN" altLang="en-US"/>
        </a:p>
      </dgm:t>
    </dgm:pt>
    <dgm:pt modelId="{C8E1B6B2-7E66-4C5D-BC99-659B686F4802}" type="pres">
      <dgm:prSet presAssocID="{1C02ACE2-32AA-424D-99C3-9F6711B1FD6F}" presName="text" presStyleLbl="node1" presStyleIdx="0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BF52ED8-6A7E-4FF5-8556-EA2B01114C1B}" type="pres">
      <dgm:prSet presAssocID="{AFB0D2D5-69BA-47B5-AF5B-91D01E752052}" presName="spacer" presStyleCnt="0"/>
      <dgm:spPr/>
    </dgm:pt>
    <dgm:pt modelId="{828715BE-90FB-4922-BB57-37A9690C30BB}" type="pres">
      <dgm:prSet presAssocID="{F1CACD19-E741-4A05-914B-992D00099082}" presName="comp" presStyleCnt="0"/>
      <dgm:spPr/>
    </dgm:pt>
    <dgm:pt modelId="{1F05416E-B367-4E1B-82BF-36A183892C54}" type="pres">
      <dgm:prSet presAssocID="{F1CACD19-E741-4A05-914B-992D00099082}" presName="box" presStyleLbl="node1" presStyleIdx="1" presStyleCnt="3"/>
      <dgm:spPr/>
      <dgm:t>
        <a:bodyPr/>
        <a:p>
          <a:endParaRPr lang="zh-CN" altLang="en-US"/>
        </a:p>
      </dgm:t>
    </dgm:pt>
    <dgm:pt modelId="{51C7F2D9-A5F7-44A5-B5F0-6882A98091EB}" type="pres">
      <dgm:prSet presAssocID="{F1CACD19-E741-4A05-914B-992D00099082}" presName="img" presStyleLbl="fgImgPlace1" presStyleIdx="1" presStyleCnt="3" custScaleY="6428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0DEDBC8-058B-4823-BF10-5CD2A5A52FA1}" type="pres">
      <dgm:prSet presAssocID="{F1CACD19-E741-4A05-914B-992D00099082}" presName="text" presStyleLbl="node1" presStyleIdx="1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5ED2D21-24F3-49D0-B366-97D14CC8ACE3}" type="pres">
      <dgm:prSet presAssocID="{02E44572-1D71-4837-BACD-090525260057}" presName="spacer" presStyleCnt="0"/>
      <dgm:spPr/>
    </dgm:pt>
    <dgm:pt modelId="{F570627C-4812-4177-B826-FBA282334C23}" type="pres">
      <dgm:prSet presAssocID="{9921561E-A28E-4D34-9716-31E902AE2A22}" presName="comp" presStyleCnt="0"/>
      <dgm:spPr/>
    </dgm:pt>
    <dgm:pt modelId="{E9FE9692-0B25-430F-A155-BA06F9873D68}" type="pres">
      <dgm:prSet presAssocID="{9921561E-A28E-4D34-9716-31E902AE2A22}" presName="box" presStyleLbl="node1" presStyleIdx="2" presStyleCnt="3"/>
      <dgm:spPr/>
      <dgm:t>
        <a:bodyPr/>
        <a:p>
          <a:endParaRPr lang="zh-CN" altLang="en-US"/>
        </a:p>
      </dgm:t>
    </dgm:pt>
    <dgm:pt modelId="{916CC277-5EEB-4C78-BD86-194F1E0C0305}" type="pres">
      <dgm:prSet presAssocID="{9921561E-A28E-4D34-9716-31E902AE2A22}" presName="img" presStyleLbl="fgImgPlace1" presStyleIdx="2" presStyleCnt="3" custScaleY="53572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5B278C60-3D45-4F5B-AC7A-A62EA6032E75}" type="pres">
      <dgm:prSet presAssocID="{9921561E-A28E-4D34-9716-31E902AE2A22}" presName="text" presStyleLbl="node1" presStyleIdx="2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6A8387C9-0588-41BD-9764-AA06EC59AA7D}" type="presOf" srcId="{1C02ACE2-32AA-424D-99C3-9F6711B1FD6F}" destId="{C8E1B6B2-7E66-4C5D-BC99-659B686F4802}" srcOrd="1" destOrd="0" presId="urn:microsoft.com/office/officeart/2005/8/layout/vList4"/>
    <dgm:cxn modelId="{7265F52B-1651-4907-A5AA-750FFC67437B}" srcId="{EA145C27-50CB-460F-8D2B-97EDA5FFBA93}" destId="{9921561E-A28E-4D34-9716-31E902AE2A22}" srcOrd="2" destOrd="0" parTransId="{76FA7B83-BE90-4319-B89E-AB1F3A5D3012}" sibTransId="{223760BD-D30E-4A39-9868-42D239591F42}"/>
    <dgm:cxn modelId="{48302F41-938C-484C-9454-D70200D3A5D5}" type="presOf" srcId="{F1CACD19-E741-4A05-914B-992D00099082}" destId="{1F05416E-B367-4E1B-82BF-36A183892C54}" srcOrd="0" destOrd="0" presId="urn:microsoft.com/office/officeart/2005/8/layout/vList4"/>
    <dgm:cxn modelId="{B38AC8E7-E465-4437-A0BB-C47EB844F6CB}" type="presOf" srcId="{F1CACD19-E741-4A05-914B-992D00099082}" destId="{20DEDBC8-058B-4823-BF10-5CD2A5A52FA1}" srcOrd="1" destOrd="0" presId="urn:microsoft.com/office/officeart/2005/8/layout/vList4"/>
    <dgm:cxn modelId="{EEEA59CA-92F8-4D3D-9062-6388A0B53878}" type="presOf" srcId="{9921561E-A28E-4D34-9716-31E902AE2A22}" destId="{E9FE9692-0B25-430F-A155-BA06F9873D68}" srcOrd="0" destOrd="0" presId="urn:microsoft.com/office/officeart/2005/8/layout/vList4"/>
    <dgm:cxn modelId="{A86153F1-C6F8-4DAD-A0B7-B14A30673FE4}" type="presOf" srcId="{EA145C27-50CB-460F-8D2B-97EDA5FFBA93}" destId="{1E061D4E-C28C-4B34-BB6D-FA18CAE6BBCB}" srcOrd="0" destOrd="0" presId="urn:microsoft.com/office/officeart/2005/8/layout/vList4"/>
    <dgm:cxn modelId="{2A86A6A7-9BC4-4F35-9947-97A6C3D1BAC0}" type="presOf" srcId="{9921561E-A28E-4D34-9716-31E902AE2A22}" destId="{5B278C60-3D45-4F5B-AC7A-A62EA6032E75}" srcOrd="1" destOrd="0" presId="urn:microsoft.com/office/officeart/2005/8/layout/vList4"/>
    <dgm:cxn modelId="{4A7DA61C-FE57-475A-BBF4-83D6F7A0A029}" srcId="{EA145C27-50CB-460F-8D2B-97EDA5FFBA93}" destId="{1C02ACE2-32AA-424D-99C3-9F6711B1FD6F}" srcOrd="0" destOrd="0" parTransId="{27131583-2B79-4EED-8AC3-5A986CB1B69E}" sibTransId="{AFB0D2D5-69BA-47B5-AF5B-91D01E752052}"/>
    <dgm:cxn modelId="{87294C63-A6A6-4C0E-B8D9-1FEFC74E8C62}" srcId="{EA145C27-50CB-460F-8D2B-97EDA5FFBA93}" destId="{F1CACD19-E741-4A05-914B-992D00099082}" srcOrd="1" destOrd="0" parTransId="{78061579-0822-4B46-9D0D-2A7A9BFC8392}" sibTransId="{02E44572-1D71-4837-BACD-090525260057}"/>
    <dgm:cxn modelId="{421EFD24-9774-4C09-A750-70F154A77D03}" type="presOf" srcId="{1C02ACE2-32AA-424D-99C3-9F6711B1FD6F}" destId="{FB86FDB5-5AED-48AE-A31D-87B0B44B4C40}" srcOrd="0" destOrd="0" presId="urn:microsoft.com/office/officeart/2005/8/layout/vList4"/>
    <dgm:cxn modelId="{17207B13-8D59-4C2E-99F1-8AC39A74FA94}" type="presParOf" srcId="{1E061D4E-C28C-4B34-BB6D-FA18CAE6BBCB}" destId="{868C42CC-2CCC-4F4E-BB62-081C25FC957B}" srcOrd="0" destOrd="0" presId="urn:microsoft.com/office/officeart/2005/8/layout/vList4"/>
    <dgm:cxn modelId="{ABD1355B-5E83-4640-B446-03F09247175B}" type="presParOf" srcId="{868C42CC-2CCC-4F4E-BB62-081C25FC957B}" destId="{FB86FDB5-5AED-48AE-A31D-87B0B44B4C40}" srcOrd="0" destOrd="0" presId="urn:microsoft.com/office/officeart/2005/8/layout/vList4"/>
    <dgm:cxn modelId="{73A155EE-364A-4FE7-ACDC-126DEC4EF210}" type="presParOf" srcId="{868C42CC-2CCC-4F4E-BB62-081C25FC957B}" destId="{D04DD26B-922D-4F06-9EE5-DC39B415B754}" srcOrd="1" destOrd="0" presId="urn:microsoft.com/office/officeart/2005/8/layout/vList4"/>
    <dgm:cxn modelId="{C722D356-2B74-440D-9237-41D627F6FA4A}" type="presParOf" srcId="{868C42CC-2CCC-4F4E-BB62-081C25FC957B}" destId="{C8E1B6B2-7E66-4C5D-BC99-659B686F4802}" srcOrd="2" destOrd="0" presId="urn:microsoft.com/office/officeart/2005/8/layout/vList4"/>
    <dgm:cxn modelId="{3BF733FF-C858-4A62-8162-9F4EF814FB8F}" type="presParOf" srcId="{1E061D4E-C28C-4B34-BB6D-FA18CAE6BBCB}" destId="{EBF52ED8-6A7E-4FF5-8556-EA2B01114C1B}" srcOrd="1" destOrd="0" presId="urn:microsoft.com/office/officeart/2005/8/layout/vList4"/>
    <dgm:cxn modelId="{CA695F43-8EA9-490D-973A-321B297E150D}" type="presParOf" srcId="{1E061D4E-C28C-4B34-BB6D-FA18CAE6BBCB}" destId="{828715BE-90FB-4922-BB57-37A9690C30BB}" srcOrd="2" destOrd="0" presId="urn:microsoft.com/office/officeart/2005/8/layout/vList4"/>
    <dgm:cxn modelId="{C486DB41-E4C2-4088-A203-C60C809F01C8}" type="presParOf" srcId="{828715BE-90FB-4922-BB57-37A9690C30BB}" destId="{1F05416E-B367-4E1B-82BF-36A183892C54}" srcOrd="0" destOrd="0" presId="urn:microsoft.com/office/officeart/2005/8/layout/vList4"/>
    <dgm:cxn modelId="{91F21C65-2E40-4ABB-BD57-6C29174C5151}" type="presParOf" srcId="{828715BE-90FB-4922-BB57-37A9690C30BB}" destId="{51C7F2D9-A5F7-44A5-B5F0-6882A98091EB}" srcOrd="1" destOrd="0" presId="urn:microsoft.com/office/officeart/2005/8/layout/vList4"/>
    <dgm:cxn modelId="{F3FD1886-3DCB-4D11-8FD1-769E4E75E0CE}" type="presParOf" srcId="{828715BE-90FB-4922-BB57-37A9690C30BB}" destId="{20DEDBC8-058B-4823-BF10-5CD2A5A52FA1}" srcOrd="2" destOrd="0" presId="urn:microsoft.com/office/officeart/2005/8/layout/vList4"/>
    <dgm:cxn modelId="{4D1C663F-ACA0-4DD5-8179-6052902ABD57}" type="presParOf" srcId="{1E061D4E-C28C-4B34-BB6D-FA18CAE6BBCB}" destId="{25ED2D21-24F3-49D0-B366-97D14CC8ACE3}" srcOrd="3" destOrd="0" presId="urn:microsoft.com/office/officeart/2005/8/layout/vList4"/>
    <dgm:cxn modelId="{D41A6379-957D-4070-A716-8F6F3D7BDD0B}" type="presParOf" srcId="{1E061D4E-C28C-4B34-BB6D-FA18CAE6BBCB}" destId="{F570627C-4812-4177-B826-FBA282334C23}" srcOrd="4" destOrd="0" presId="urn:microsoft.com/office/officeart/2005/8/layout/vList4"/>
    <dgm:cxn modelId="{0DBA9302-F20A-4605-B409-70385100C922}" type="presParOf" srcId="{F570627C-4812-4177-B826-FBA282334C23}" destId="{E9FE9692-0B25-430F-A155-BA06F9873D68}" srcOrd="0" destOrd="0" presId="urn:microsoft.com/office/officeart/2005/8/layout/vList4"/>
    <dgm:cxn modelId="{D6B9E867-2BED-4909-A197-3AEC19E7A560}" type="presParOf" srcId="{F570627C-4812-4177-B826-FBA282334C23}" destId="{916CC277-5EEB-4C78-BD86-194F1E0C0305}" srcOrd="1" destOrd="0" presId="urn:microsoft.com/office/officeart/2005/8/layout/vList4"/>
    <dgm:cxn modelId="{FCFD7BD4-8FF2-4488-9449-4E68D2CABF2E}" type="presParOf" srcId="{F570627C-4812-4177-B826-FBA282334C23}" destId="{5B278C60-3D45-4F5B-AC7A-A62EA6032E75}" srcOrd="2" destOrd="0" presId="urn:microsoft.com/office/officeart/2005/8/layout/vList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3790950" cy="2362200"/>
        <a:chOff x="0" y="0"/>
        <a:chExt cx="3790950" cy="2362200"/>
      </a:xfrm>
    </dsp:grpSpPr>
    <dsp:sp>
      <dsp:nvSpPr>
        <dsp:cNvPr id="3" name="圆角矩形 2"/>
        <dsp:cNvSpPr/>
      </dsp:nvSpPr>
      <dsp:spPr bwMode="white">
        <a:xfrm>
          <a:off x="0" y="0"/>
          <a:ext cx="3790950" cy="738188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shade val="50000"/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Xfrm>
        <a:off x="0" y="0"/>
        <a:ext cx="3790950" cy="738188"/>
      </dsp:txXfrm>
    </dsp:sp>
    <dsp:sp>
      <dsp:nvSpPr>
        <dsp:cNvPr id="4" name="圆角矩形 3"/>
        <dsp:cNvSpPr/>
      </dsp:nvSpPr>
      <dsp:spPr bwMode="white">
        <a:xfrm>
          <a:off x="73819" y="73819"/>
          <a:ext cx="758190" cy="590550"/>
        </a:xfrm>
        <a:prstGeom prst="roundRect">
          <a:avLst>
            <a:gd name="adj" fmla="val 10000"/>
          </a:avLst>
        </a:prstGeom>
        <a:blipFill rotWithShape="0">
          <a:blip r:embed="rId1"/>
          <a:stretch>
            <a:fillRect/>
          </a:stretch>
        </a:blipFill>
      </dsp:spPr>
      <dsp:style>
        <a:lnRef idx="0">
          <a:schemeClr val="lt1"/>
        </a:lnRef>
        <a:fillRef idx="1">
          <a:schemeClr val="accent5">
            <a:tint val="50000"/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/>
      </dsp:style>
      <dsp:txXfrm>
        <a:off x="73819" y="73819"/>
        <a:ext cx="758190" cy="590550"/>
      </dsp:txXfrm>
    </dsp:sp>
    <dsp:sp>
      <dsp:nvSpPr>
        <dsp:cNvPr id="6" name="圆角矩形 5"/>
        <dsp:cNvSpPr/>
      </dsp:nvSpPr>
      <dsp:spPr bwMode="white">
        <a:xfrm>
          <a:off x="0" y="812006"/>
          <a:ext cx="3790950" cy="738188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shade val="50000"/>
            <a:hueOff val="120000"/>
            <a:satOff val="-3659"/>
            <a:lumOff val="27974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Xfrm>
        <a:off x="0" y="812006"/>
        <a:ext cx="3790950" cy="738188"/>
      </dsp:txXfrm>
    </dsp:sp>
    <dsp:sp>
      <dsp:nvSpPr>
        <dsp:cNvPr id="7" name="圆角矩形 6"/>
        <dsp:cNvSpPr/>
      </dsp:nvSpPr>
      <dsp:spPr bwMode="white">
        <a:xfrm>
          <a:off x="73819" y="885825"/>
          <a:ext cx="758190" cy="590550"/>
        </a:xfrm>
        <a:prstGeom prst="roundRect">
          <a:avLst>
            <a:gd name="adj" fmla="val 10000"/>
          </a:avLst>
        </a:prstGeom>
        <a:blipFill rotWithShape="0">
          <a:blip r:embed="rId2"/>
          <a:stretch>
            <a:fillRect/>
          </a:stretch>
        </a:blipFill>
      </dsp:spPr>
      <dsp:style>
        <a:lnRef idx="0">
          <a:schemeClr val="lt1"/>
        </a:lnRef>
        <a:fillRef idx="1">
          <a:schemeClr val="accent5">
            <a:tint val="50000"/>
            <a:hueOff val="0"/>
            <a:satOff val="0"/>
            <a:lumOff val="-979"/>
            <a:alpha val="100000"/>
          </a:schemeClr>
        </a:fillRef>
        <a:effectRef idx="2">
          <a:scrgbClr r="0" g="0" b="0"/>
        </a:effectRef>
        <a:fontRef idx="minor"/>
      </dsp:style>
      <dsp:txXfrm>
        <a:off x="73819" y="885825"/>
        <a:ext cx="758190" cy="590550"/>
      </dsp:txXfrm>
    </dsp:sp>
    <dsp:sp>
      <dsp:nvSpPr>
        <dsp:cNvPr id="9" name="圆角矩形 8"/>
        <dsp:cNvSpPr/>
      </dsp:nvSpPr>
      <dsp:spPr bwMode="white">
        <a:xfrm>
          <a:off x="0" y="1624013"/>
          <a:ext cx="3790950" cy="738188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tint val="55000"/>
            <a:hueOff val="-60000"/>
            <a:satOff val="1830"/>
            <a:lumOff val="-13986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Xfrm>
        <a:off x="0" y="1624013"/>
        <a:ext cx="3790950" cy="738188"/>
      </dsp:txXfrm>
    </dsp:sp>
    <dsp:sp>
      <dsp:nvSpPr>
        <dsp:cNvPr id="10" name="圆角矩形 9"/>
        <dsp:cNvSpPr/>
      </dsp:nvSpPr>
      <dsp:spPr bwMode="white">
        <a:xfrm>
          <a:off x="73819" y="1697831"/>
          <a:ext cx="758190" cy="590550"/>
        </a:xfrm>
        <a:prstGeom prst="roundRect">
          <a:avLst>
            <a:gd name="adj" fmla="val 10000"/>
          </a:avLst>
        </a:prstGeom>
        <a:blipFill rotWithShape="0">
          <a:blip r:embed="rId2"/>
          <a:stretch>
            <a:fillRect/>
          </a:stretch>
        </a:blipFill>
      </dsp:spPr>
      <dsp:style>
        <a:lnRef idx="0">
          <a:schemeClr val="lt1"/>
        </a:lnRef>
        <a:fillRef idx="1">
          <a:schemeClr val="accent5">
            <a:tint val="50000"/>
            <a:hueOff val="0"/>
            <a:satOff val="0"/>
            <a:lumOff val="-1960"/>
            <a:alpha val="100000"/>
          </a:schemeClr>
        </a:fillRef>
        <a:effectRef idx="2">
          <a:scrgbClr r="0" g="0" b="0"/>
        </a:effectRef>
        <a:fontRef idx="minor"/>
      </dsp:style>
      <dsp:txXfrm>
        <a:off x="73819" y="1697831"/>
        <a:ext cx="758190" cy="590550"/>
      </dsp:txXfrm>
    </dsp:sp>
    <dsp:sp>
      <dsp:nvSpPr>
        <dsp:cNvPr id="5" name="矩形 4"/>
        <dsp:cNvSpPr/>
      </dsp:nvSpPr>
      <dsp:spPr bwMode="white">
        <a:xfrm>
          <a:off x="832009" y="0"/>
          <a:ext cx="2958941" cy="738188"/>
        </a:xfrm>
        <a:prstGeom prst="rect">
          <a:avLst/>
        </a:prstGeom>
        <a:noFill/>
        <a:ln>
          <a:noFill/>
        </a:ln>
      </dsp:spPr>
      <dsp:style>
        <a:lnRef idx="0">
          <a:schemeClr val="lt1"/>
        </a:lnRef>
        <a:fillRef idx="3">
          <a:schemeClr val="accent5">
            <a:shade val="50000"/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lIns="91439" tIns="91439" rIns="91439" bIns="91439" anchor="ctr"/>
        <a:lstStyle>
          <a:lvl1pPr algn="l">
            <a:defRPr sz="6500"/>
          </a:lvl1pPr>
          <a:lvl2pPr marL="285750" indent="-285750" algn="l">
            <a:defRPr sz="5000"/>
          </a:lvl2pPr>
          <a:lvl3pPr marL="571500" indent="-285750" algn="l">
            <a:defRPr sz="5000"/>
          </a:lvl3pPr>
          <a:lvl4pPr marL="857250" indent="-285750" algn="l">
            <a:defRPr sz="5000"/>
          </a:lvl4pPr>
          <a:lvl5pPr marL="1143000" indent="-285750" algn="l">
            <a:defRPr sz="5000"/>
          </a:lvl5pPr>
          <a:lvl6pPr marL="1428750" indent="-285750" algn="l">
            <a:defRPr sz="5000"/>
          </a:lvl6pPr>
          <a:lvl7pPr marL="1714500" indent="-285750" algn="l">
            <a:defRPr sz="5000"/>
          </a:lvl7pPr>
          <a:lvl8pPr marL="2000250" indent="-285750" algn="l">
            <a:defRPr sz="5000"/>
          </a:lvl8pPr>
          <a:lvl9pPr marL="2286000" indent="-285750" algn="l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400" b="1"/>
            <a:t>新员工入职培训</a:t>
          </a:r>
          <a:endParaRPr lang="zh-CN" altLang="en-US" sz="2400"/>
        </a:p>
      </dsp:txBody>
      <dsp:txXfrm>
        <a:off x="832009" y="0"/>
        <a:ext cx="2958941" cy="738188"/>
      </dsp:txXfrm>
    </dsp:sp>
    <dsp:sp>
      <dsp:nvSpPr>
        <dsp:cNvPr id="8" name="矩形 7"/>
        <dsp:cNvSpPr/>
      </dsp:nvSpPr>
      <dsp:spPr bwMode="white">
        <a:xfrm>
          <a:off x="832009" y="812006"/>
          <a:ext cx="2958941" cy="738188"/>
        </a:xfrm>
        <a:prstGeom prst="rect">
          <a:avLst/>
        </a:prstGeom>
        <a:noFill/>
        <a:ln>
          <a:noFill/>
        </a:ln>
      </dsp:spPr>
      <dsp:style>
        <a:lnRef idx="0">
          <a:schemeClr val="lt1"/>
        </a:lnRef>
        <a:fillRef idx="3">
          <a:schemeClr val="accent5">
            <a:shade val="50000"/>
            <a:hueOff val="120000"/>
            <a:satOff val="-3659"/>
            <a:lumOff val="27974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lIns="91439" tIns="91439" rIns="91439" bIns="91439" anchor="ctr"/>
        <a:lstStyle>
          <a:lvl1pPr algn="l">
            <a:defRPr sz="6500"/>
          </a:lvl1pPr>
          <a:lvl2pPr marL="285750" indent="-285750" algn="l">
            <a:defRPr sz="5000"/>
          </a:lvl2pPr>
          <a:lvl3pPr marL="571500" indent="-285750" algn="l">
            <a:defRPr sz="5000"/>
          </a:lvl3pPr>
          <a:lvl4pPr marL="857250" indent="-285750" algn="l">
            <a:defRPr sz="5000"/>
          </a:lvl4pPr>
          <a:lvl5pPr marL="1143000" indent="-285750" algn="l">
            <a:defRPr sz="5000"/>
          </a:lvl5pPr>
          <a:lvl6pPr marL="1428750" indent="-285750" algn="l">
            <a:defRPr sz="5000"/>
          </a:lvl6pPr>
          <a:lvl7pPr marL="1714500" indent="-285750" algn="l">
            <a:defRPr sz="5000"/>
          </a:lvl7pPr>
          <a:lvl8pPr marL="2000250" indent="-285750" algn="l">
            <a:defRPr sz="5000"/>
          </a:lvl8pPr>
          <a:lvl9pPr marL="2286000" indent="-285750" algn="l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400" b="1"/>
            <a:t>岗位安全培训</a:t>
          </a:r>
          <a:endParaRPr lang="zh-CN" altLang="en-US" sz="2400"/>
        </a:p>
      </dsp:txBody>
      <dsp:txXfrm>
        <a:off x="832009" y="812006"/>
        <a:ext cx="2958941" cy="738188"/>
      </dsp:txXfrm>
    </dsp:sp>
    <dsp:sp>
      <dsp:nvSpPr>
        <dsp:cNvPr id="11" name="矩形 10"/>
        <dsp:cNvSpPr/>
      </dsp:nvSpPr>
      <dsp:spPr bwMode="white">
        <a:xfrm>
          <a:off x="832009" y="1624013"/>
          <a:ext cx="2958941" cy="738188"/>
        </a:xfrm>
        <a:prstGeom prst="rect">
          <a:avLst/>
        </a:prstGeom>
        <a:noFill/>
        <a:ln>
          <a:noFill/>
        </a:ln>
      </dsp:spPr>
      <dsp:style>
        <a:lnRef idx="0">
          <a:schemeClr val="lt1"/>
        </a:lnRef>
        <a:fillRef idx="3">
          <a:schemeClr val="accent5">
            <a:tint val="55000"/>
            <a:hueOff val="-60000"/>
            <a:satOff val="1830"/>
            <a:lumOff val="-13986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lIns="91439" tIns="91439" rIns="91439" bIns="91439" anchor="ctr"/>
        <a:lstStyle>
          <a:lvl1pPr algn="l">
            <a:defRPr sz="6500"/>
          </a:lvl1pPr>
          <a:lvl2pPr marL="285750" indent="-285750" algn="l">
            <a:defRPr sz="5000"/>
          </a:lvl2pPr>
          <a:lvl3pPr marL="571500" indent="-285750" algn="l">
            <a:defRPr sz="5000"/>
          </a:lvl3pPr>
          <a:lvl4pPr marL="857250" indent="-285750" algn="l">
            <a:defRPr sz="5000"/>
          </a:lvl4pPr>
          <a:lvl5pPr marL="1143000" indent="-285750" algn="l">
            <a:defRPr sz="5000"/>
          </a:lvl5pPr>
          <a:lvl6pPr marL="1428750" indent="-285750" algn="l">
            <a:defRPr sz="5000"/>
          </a:lvl6pPr>
          <a:lvl7pPr marL="1714500" indent="-285750" algn="l">
            <a:defRPr sz="5000"/>
          </a:lvl7pPr>
          <a:lvl8pPr marL="2000250" indent="-285750" algn="l">
            <a:defRPr sz="5000"/>
          </a:lvl8pPr>
          <a:lvl9pPr marL="2286000" indent="-285750" algn="l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400" b="1"/>
            <a:t>关键岗位人才培训</a:t>
          </a:r>
          <a:endParaRPr lang="zh-CN" altLang="en-US" sz="2400"/>
        </a:p>
      </dsp:txBody>
      <dsp:txXfrm>
        <a:off x="832009" y="1624013"/>
        <a:ext cx="2958941" cy="73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AE860-D92D-41A4-AC1D-944233DAE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254</Words>
  <Characters>1454</Characters>
  <Lines>12</Lines>
  <Paragraphs>3</Paragraphs>
  <TotalTime>0</TotalTime>
  <ScaleCrop>false</ScaleCrop>
  <LinksUpToDate>false</LinksUpToDate>
  <CharactersWithSpaces>1705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2018-04-19T10:38:00Z</dcterms:created>
  <dc:creator>行政</dc:creator>
  <cp:lastModifiedBy>3488</cp:lastModifiedBy>
  <dcterms:modified xsi:type="dcterms:W3CDTF">2020-05-26T02:28:27Z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